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64" w:rsidRPr="00110064" w:rsidRDefault="00110064" w:rsidP="00110064">
      <w:pPr>
        <w:widowControl/>
        <w:shd w:val="clear" w:color="auto" w:fill="FFFFFF"/>
        <w:jc w:val="center"/>
        <w:outlineLvl w:val="1"/>
        <w:rPr>
          <w:rFonts w:ascii="方正小标宋简体" w:eastAsia="方正小标宋简体" w:hAnsi="Segoe UI" w:cs="Segoe UI"/>
          <w:b/>
          <w:bCs/>
          <w:color w:val="333333"/>
          <w:kern w:val="0"/>
          <w:sz w:val="36"/>
          <w:szCs w:val="36"/>
        </w:rPr>
      </w:pPr>
      <w:r w:rsidRPr="00110064">
        <w:rPr>
          <w:rFonts w:ascii="方正小标宋简体" w:eastAsia="方正小标宋简体" w:hAnsi="Segoe UI" w:cs="Segoe UI" w:hint="eastAsia"/>
          <w:b/>
          <w:bCs/>
          <w:color w:val="333333"/>
          <w:kern w:val="0"/>
          <w:sz w:val="36"/>
          <w:szCs w:val="36"/>
        </w:rPr>
        <w:t>教育部关于规范和加强直属高校 国有资产管理的若干意见</w:t>
      </w:r>
    </w:p>
    <w:p w:rsidR="00110064" w:rsidRPr="00110064" w:rsidRDefault="00110064" w:rsidP="00110064">
      <w:pPr>
        <w:widowControl/>
        <w:shd w:val="clear" w:color="auto" w:fill="FFFFFF"/>
        <w:jc w:val="left"/>
        <w:outlineLvl w:val="0"/>
        <w:rPr>
          <w:rFonts w:ascii="Segoe UI" w:eastAsia="宋体" w:hAnsi="Segoe UI" w:cs="Segoe UI"/>
          <w:b/>
          <w:bCs/>
          <w:color w:val="333333"/>
          <w:kern w:val="36"/>
          <w:sz w:val="48"/>
          <w:szCs w:val="48"/>
        </w:rPr>
      </w:pPr>
      <w:r w:rsidRPr="00110064">
        <w:rPr>
          <w:rFonts w:ascii="仿宋_GB2312" w:eastAsia="仿宋_GB2312" w:hAnsi="Segoe UI" w:cs="Segoe UI" w:hint="eastAsia"/>
          <w:b/>
          <w:bCs/>
          <w:color w:val="333333"/>
          <w:kern w:val="36"/>
          <w:sz w:val="30"/>
          <w:szCs w:val="30"/>
        </w:rPr>
        <w:t>部属各高等学校：</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根据《教育部等五部门关于深化高等教育领域简政放权放管结合优化服务改革的若干意见》（教政法〔2017〕7号）《财政部关于印发&lt;中央部门所属高校国有资产处置管理补充规定&gt;的通知》（财资〔2017〕72号）《财政部关于&lt;国有资产评估项目备案管理办法&gt;的补充通知》（财资〔2017〕70号）和《教育部直属高等学校国有资产管理暂行办法》（</w:t>
      </w:r>
      <w:proofErr w:type="gramStart"/>
      <w:r w:rsidRPr="00110064">
        <w:rPr>
          <w:rFonts w:ascii="仿宋_GB2312" w:eastAsia="仿宋_GB2312" w:hAnsi="Segoe UI" w:cs="Segoe UI" w:hint="eastAsia"/>
          <w:color w:val="333333"/>
          <w:kern w:val="0"/>
          <w:sz w:val="30"/>
          <w:szCs w:val="30"/>
        </w:rPr>
        <w:t>教财〔2012〕</w:t>
      </w:r>
      <w:proofErr w:type="gramEnd"/>
      <w:r w:rsidRPr="00110064">
        <w:rPr>
          <w:rFonts w:ascii="仿宋_GB2312" w:eastAsia="仿宋_GB2312" w:hAnsi="Segoe UI" w:cs="Segoe UI" w:hint="eastAsia"/>
          <w:color w:val="333333"/>
          <w:kern w:val="0"/>
          <w:sz w:val="30"/>
          <w:szCs w:val="30"/>
        </w:rPr>
        <w:t>6号）等有关规定，现就规范和加强直属高校国有资产管理提出如下意见：</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一、落实高校国有资产管理主体责任。</w:t>
      </w:r>
      <w:r w:rsidRPr="00110064">
        <w:rPr>
          <w:rFonts w:ascii="仿宋_GB2312" w:eastAsia="仿宋_GB2312" w:hAnsi="Segoe UI" w:cs="Segoe UI" w:hint="eastAsia"/>
          <w:color w:val="333333"/>
          <w:kern w:val="0"/>
          <w:sz w:val="30"/>
          <w:szCs w:val="30"/>
        </w:rPr>
        <w:t>高校承担本校占有、使用国有资产的具体管理职责，高校校长是国有资产管理工作第一责任人，分管校领导是国有资产管理工作的主要负责人。高校应结合实际，建立和完善本校资产配置、使用、处置、绩效评价、信息化建设、统计报告、日常监督等具体制度。科学合理设置内部国有资产管理机构，对学校国有资产实施统一领导、归口管理。具备条件的高校应对现有分散和多头管理的格局进行整合，成立单独设置的一级国有资产管理机构，统一管理学校国有资产。高校要根据资产规模和管理工作的需要，配备相应数量的国有资产管理工作人员，确保管理责任落实到人。</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lastRenderedPageBreak/>
        <w:t>二、加强资产配置管理。</w:t>
      </w:r>
      <w:r w:rsidRPr="00110064">
        <w:rPr>
          <w:rFonts w:ascii="仿宋_GB2312" w:eastAsia="仿宋_GB2312" w:hAnsi="Segoe UI" w:cs="Segoe UI" w:hint="eastAsia"/>
          <w:color w:val="333333"/>
          <w:kern w:val="0"/>
          <w:sz w:val="30"/>
          <w:szCs w:val="30"/>
        </w:rPr>
        <w:t>高校应按照国家对事业单位资产配置数量、价格上限、最低使用年限等规定，结合本校实际，科学论证，从严控制，厉行节约，建立健全资产配置标准。高校要积极推进资产管理与预算管理相结合，将资产配置管理职能嵌入预算管理流程。新增资产配置必须综合考虑现有资产存量情况，充分论证，纳入学校预算统一管理。高校要加强对存量资产的有效利用，积极推进国有资产整合与共享共用，避免资产闲置浪费。</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三、规范资产出租、出借行为。</w:t>
      </w:r>
      <w:r w:rsidRPr="00110064">
        <w:rPr>
          <w:rFonts w:ascii="仿宋_GB2312" w:eastAsia="仿宋_GB2312" w:hAnsi="Segoe UI" w:cs="Segoe UI" w:hint="eastAsia"/>
          <w:color w:val="333333"/>
          <w:kern w:val="0"/>
          <w:sz w:val="30"/>
          <w:szCs w:val="30"/>
        </w:rPr>
        <w:t>高校国有资产应切实保障教学、科研事业的改革发展需要，一般不出租出借国有资产。确需出租出借资产的，应当按照规定程序履行报批报备手续，原则上实行公开竞价招租，必要时可采取评审或资产评估的方式确定出租价格。要建立出租、出借</w:t>
      </w:r>
      <w:proofErr w:type="gramStart"/>
      <w:r w:rsidRPr="00110064">
        <w:rPr>
          <w:rFonts w:ascii="仿宋_GB2312" w:eastAsia="仿宋_GB2312" w:hAnsi="Segoe UI" w:cs="Segoe UI" w:hint="eastAsia"/>
          <w:color w:val="333333"/>
          <w:kern w:val="0"/>
          <w:sz w:val="30"/>
          <w:szCs w:val="30"/>
        </w:rPr>
        <w:t>资产台</w:t>
      </w:r>
      <w:proofErr w:type="gramEnd"/>
      <w:r w:rsidRPr="00110064">
        <w:rPr>
          <w:rFonts w:ascii="仿宋_GB2312" w:eastAsia="仿宋_GB2312" w:hAnsi="Segoe UI" w:cs="Segoe UI" w:hint="eastAsia"/>
          <w:color w:val="333333"/>
          <w:kern w:val="0"/>
          <w:sz w:val="30"/>
          <w:szCs w:val="30"/>
        </w:rPr>
        <w:t>账，实现动态跟踪管理。</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四、扩大高校资产处置权限。</w:t>
      </w:r>
      <w:r w:rsidRPr="00110064">
        <w:rPr>
          <w:rFonts w:ascii="仿宋_GB2312" w:eastAsia="仿宋_GB2312" w:hAnsi="Segoe UI" w:cs="Segoe UI" w:hint="eastAsia"/>
          <w:color w:val="333333"/>
          <w:kern w:val="0"/>
          <w:sz w:val="30"/>
          <w:szCs w:val="30"/>
        </w:rPr>
        <w:t>对于已</w:t>
      </w:r>
      <w:proofErr w:type="gramStart"/>
      <w:r w:rsidRPr="00110064">
        <w:rPr>
          <w:rFonts w:ascii="仿宋_GB2312" w:eastAsia="仿宋_GB2312" w:hAnsi="Segoe UI" w:cs="Segoe UI" w:hint="eastAsia"/>
          <w:color w:val="333333"/>
          <w:kern w:val="0"/>
          <w:sz w:val="30"/>
          <w:szCs w:val="30"/>
        </w:rPr>
        <w:t>达使用</w:t>
      </w:r>
      <w:proofErr w:type="gramEnd"/>
      <w:r w:rsidRPr="00110064">
        <w:rPr>
          <w:rFonts w:ascii="仿宋_GB2312" w:eastAsia="仿宋_GB2312" w:hAnsi="Segoe UI" w:cs="Segoe UI" w:hint="eastAsia"/>
          <w:color w:val="333333"/>
          <w:kern w:val="0"/>
          <w:sz w:val="30"/>
          <w:szCs w:val="30"/>
        </w:rPr>
        <w:t>年限并且应淘汰报废的固定资产，授权高校自主处置，处置结果于每季度终了后10个工作日内报教育部备案。对于未达使用年限的固定资产，一次性处置单位价值或批量价值在1500万元以下的，由高校审批后10个工作日内将审批文件及相关资料报教育部，教育部审核后报财政部备案；一次性处置单位价值或批量价值在1500万元以上（含1500万元）的，由高校审核后报教育部审批，教育部审批后将批复文件报财政部备案。资产使用年限标</w:t>
      </w:r>
      <w:r w:rsidRPr="00110064">
        <w:rPr>
          <w:rFonts w:ascii="仿宋_GB2312" w:eastAsia="仿宋_GB2312" w:hAnsi="Segoe UI" w:cs="Segoe UI" w:hint="eastAsia"/>
          <w:color w:val="333333"/>
          <w:kern w:val="0"/>
          <w:sz w:val="30"/>
          <w:szCs w:val="30"/>
        </w:rPr>
        <w:lastRenderedPageBreak/>
        <w:t>准按照《教育部直属高校固定资产最低使用年限表》（附件1）执行。已</w:t>
      </w:r>
      <w:proofErr w:type="gramStart"/>
      <w:r w:rsidRPr="00110064">
        <w:rPr>
          <w:rFonts w:ascii="仿宋_GB2312" w:eastAsia="仿宋_GB2312" w:hAnsi="Segoe UI" w:cs="Segoe UI" w:hint="eastAsia"/>
          <w:color w:val="333333"/>
          <w:kern w:val="0"/>
          <w:sz w:val="30"/>
          <w:szCs w:val="30"/>
        </w:rPr>
        <w:t>达使用</w:t>
      </w:r>
      <w:proofErr w:type="gramEnd"/>
      <w:r w:rsidRPr="00110064">
        <w:rPr>
          <w:rFonts w:ascii="仿宋_GB2312" w:eastAsia="仿宋_GB2312" w:hAnsi="Segoe UI" w:cs="Segoe UI" w:hint="eastAsia"/>
          <w:color w:val="333333"/>
          <w:kern w:val="0"/>
          <w:sz w:val="30"/>
          <w:szCs w:val="30"/>
        </w:rPr>
        <w:t>年限仍可以继续使用的，应当继续使用。高校资产处置后，要按规定及时进行账务处理。</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五、规范资产处置收益管理。</w:t>
      </w:r>
      <w:r w:rsidRPr="00110064">
        <w:rPr>
          <w:rFonts w:ascii="仿宋_GB2312" w:eastAsia="仿宋_GB2312" w:hAnsi="Segoe UI" w:cs="Segoe UI" w:hint="eastAsia"/>
          <w:color w:val="333333"/>
          <w:kern w:val="0"/>
          <w:sz w:val="30"/>
          <w:szCs w:val="30"/>
        </w:rPr>
        <w:t>高校自主处置已</w:t>
      </w:r>
      <w:proofErr w:type="gramStart"/>
      <w:r w:rsidRPr="00110064">
        <w:rPr>
          <w:rFonts w:ascii="仿宋_GB2312" w:eastAsia="仿宋_GB2312" w:hAnsi="Segoe UI" w:cs="Segoe UI" w:hint="eastAsia"/>
          <w:color w:val="333333"/>
          <w:kern w:val="0"/>
          <w:sz w:val="30"/>
          <w:szCs w:val="30"/>
        </w:rPr>
        <w:t>达使用</w:t>
      </w:r>
      <w:proofErr w:type="gramEnd"/>
      <w:r w:rsidRPr="00110064">
        <w:rPr>
          <w:rFonts w:ascii="仿宋_GB2312" w:eastAsia="仿宋_GB2312" w:hAnsi="Segoe UI" w:cs="Segoe UI" w:hint="eastAsia"/>
          <w:color w:val="333333"/>
          <w:kern w:val="0"/>
          <w:sz w:val="30"/>
          <w:szCs w:val="30"/>
        </w:rPr>
        <w:t>年限并且应淘汰报废的固定资产取得的收益，留归高校，纳入预算，统一管理。涉及科技成果转化资产处置的，按照《中华人民共和国促进科技成果转化法》《国务院关于印发实施〈中华人民共和国促进科技成果转化法〉若干规定的通知》（国发〔2016〕16号）和《中华人民共和国专利法》及其实施细则等有关规定执行。除上述情形以外的资产处置收入，按照《中央级事业单位国有资产处置管理暂行办法》（</w:t>
      </w:r>
      <w:proofErr w:type="gramStart"/>
      <w:r w:rsidRPr="00110064">
        <w:rPr>
          <w:rFonts w:ascii="仿宋_GB2312" w:eastAsia="仿宋_GB2312" w:hAnsi="Segoe UI" w:cs="Segoe UI" w:hint="eastAsia"/>
          <w:color w:val="333333"/>
          <w:kern w:val="0"/>
          <w:sz w:val="30"/>
          <w:szCs w:val="30"/>
        </w:rPr>
        <w:t>财教〔2008〕</w:t>
      </w:r>
      <w:proofErr w:type="gramEnd"/>
      <w:r w:rsidRPr="00110064">
        <w:rPr>
          <w:rFonts w:ascii="仿宋_GB2312" w:eastAsia="仿宋_GB2312" w:hAnsi="Segoe UI" w:cs="Segoe UI" w:hint="eastAsia"/>
          <w:color w:val="333333"/>
          <w:kern w:val="0"/>
          <w:sz w:val="30"/>
          <w:szCs w:val="30"/>
        </w:rPr>
        <w:t>495号）有关规定执行。</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六、履行高校科技成果评估备案管理职责。</w:t>
      </w:r>
      <w:r w:rsidRPr="00110064">
        <w:rPr>
          <w:rFonts w:ascii="仿宋_GB2312" w:eastAsia="仿宋_GB2312" w:hAnsi="Segoe UI" w:cs="Segoe UI" w:hint="eastAsia"/>
          <w:color w:val="333333"/>
          <w:kern w:val="0"/>
          <w:sz w:val="30"/>
          <w:szCs w:val="30"/>
        </w:rPr>
        <w:t>高校科技成果资产评估备案工作，授权高校负责。高校要结合科技成果转化工作实际，根据国家有关规定，制定科技成果资产评估项目备案工作操作细则，规范科技成果资产评估机构的选聘工作，按要求严格审核科技成果资产评估各项资料，完善资产评估档案管理，切实做好科技成果资产评估备案工作。</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高校科技成果转化管理部门应按照国有资产评估管理工作要求，填写《国有资产评估项目备案表》，提交相关备案材料。高校国有资产管理部门应自收齐备案材料日起，在5个工作日内完成备案手续，于每年度终了15个工作日内，将本年度</w:t>
      </w:r>
      <w:r w:rsidRPr="00110064">
        <w:rPr>
          <w:rFonts w:ascii="仿宋_GB2312" w:eastAsia="仿宋_GB2312" w:hAnsi="Segoe UI" w:cs="Segoe UI" w:hint="eastAsia"/>
          <w:color w:val="333333"/>
          <w:kern w:val="0"/>
          <w:sz w:val="30"/>
          <w:szCs w:val="30"/>
        </w:rPr>
        <w:lastRenderedPageBreak/>
        <w:t>科技成果评估项目备案情况汇总表（附件2）报送教育部，教育部汇总后报财政部。</w:t>
      </w:r>
    </w:p>
    <w:p w:rsidR="00110064" w:rsidRPr="00110064" w:rsidRDefault="00110064" w:rsidP="00110064">
      <w:pPr>
        <w:widowControl/>
        <w:shd w:val="clear" w:color="auto" w:fill="FFFFFF"/>
        <w:spacing w:line="600" w:lineRule="atLeast"/>
        <w:ind w:firstLine="555"/>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七、推进资产管理信息系统建设。</w:t>
      </w:r>
      <w:r w:rsidRPr="00110064">
        <w:rPr>
          <w:rFonts w:ascii="仿宋_GB2312" w:eastAsia="仿宋_GB2312" w:hAnsi="Segoe UI" w:cs="Segoe UI" w:hint="eastAsia"/>
          <w:color w:val="333333"/>
          <w:kern w:val="0"/>
          <w:sz w:val="30"/>
          <w:szCs w:val="30"/>
        </w:rPr>
        <w:t>高校应统筹设计、整体规划、稳步推进国有资产信息化建设，充分考虑国有资产监管要求、内部控制环节、现有设施资源及未来业务发展变化，持续优化管理信息系统。高校应运用信息化管理工具对国有资产信息系统的合理性、数据的准确性、操作的规范性进行监控和反馈,加强资产管理信息系统的管理与维护，确保资产信息安全。</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八、加强资产绩效考核评价。</w:t>
      </w:r>
      <w:r w:rsidRPr="00110064">
        <w:rPr>
          <w:rFonts w:ascii="仿宋_GB2312" w:eastAsia="仿宋_GB2312" w:hAnsi="Segoe UI" w:cs="Segoe UI" w:hint="eastAsia"/>
          <w:color w:val="333333"/>
          <w:kern w:val="0"/>
          <w:sz w:val="30"/>
          <w:szCs w:val="30"/>
        </w:rPr>
        <w:t>高校应按照社会效益和经济效益相结合的原则建立资产绩效考核评价体系，通过科学合理、客观公正、规范可行的方法、标准和程序，真实反映和评价本校国有资产管理绩效。高校要加强绩效考核评价结果的运用，将绩效评价的结果作为资产配置、使用和处置的重要依据，不断提高国有资产的安全性、完整性和有效性。</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t>九、建立国有资产年度报告制度。</w:t>
      </w:r>
      <w:r w:rsidRPr="00110064">
        <w:rPr>
          <w:rFonts w:ascii="仿宋_GB2312" w:eastAsia="仿宋_GB2312" w:hAnsi="Segoe UI" w:cs="Segoe UI" w:hint="eastAsia"/>
          <w:color w:val="333333"/>
          <w:kern w:val="0"/>
          <w:sz w:val="30"/>
          <w:szCs w:val="30"/>
        </w:rPr>
        <w:t>高校应在年度终了2个月内，将上年度国有资产管理情况书面报告教育部。报告的主要内容包括：制度建设、机构设置和人员配备情况；资产使用管理情况；资产处置管理情况，含处置资产的原因、账面原值和处置方式，取得的收入及其使用情况，授权管理取得的成效、存在的问题和建议等；其他资产管理情况等。</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楷体" w:eastAsia="楷体" w:hAnsi="楷体" w:cs="Segoe UI" w:hint="eastAsia"/>
          <w:color w:val="333333"/>
          <w:kern w:val="0"/>
          <w:sz w:val="30"/>
          <w:szCs w:val="30"/>
        </w:rPr>
        <w:lastRenderedPageBreak/>
        <w:t>十、强化国有资产监督管理。</w:t>
      </w:r>
      <w:r w:rsidRPr="00110064">
        <w:rPr>
          <w:rFonts w:ascii="仿宋_GB2312" w:eastAsia="仿宋_GB2312" w:hAnsi="Segoe UI" w:cs="Segoe UI" w:hint="eastAsia"/>
          <w:color w:val="333333"/>
          <w:kern w:val="0"/>
          <w:sz w:val="30"/>
          <w:szCs w:val="30"/>
        </w:rPr>
        <w:t>高校要建立健全国有资产监督管理责任制，强化纪检、监察、审计等部门协作联动监督，提高内部控制水平，防止国有资产流失。教育部将加大对高校国有资产管理的指导和监督力度，组织专项检查，及时发现国有资产管理过程中存在的突出问题、管理漏洞和薄弱环节，督促加以改进。高校要自觉接受和配合教育部、财政部组织的监督检查工作。</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高校应根据财政部、教育部相关规定，结合实际情况，及时修订本校国有资产管理办法，并报教育部备查。</w:t>
      </w:r>
    </w:p>
    <w:p w:rsidR="00110064" w:rsidRPr="00110064" w:rsidRDefault="00110064" w:rsidP="00110064">
      <w:pPr>
        <w:widowControl/>
        <w:shd w:val="clear" w:color="auto" w:fill="FFFFFF"/>
        <w:spacing w:line="360" w:lineRule="atLeast"/>
        <w:jc w:val="left"/>
        <w:rPr>
          <w:rFonts w:ascii="Segoe UI" w:eastAsia="宋体" w:hAnsi="Segoe UI" w:cs="Segoe UI"/>
          <w:color w:val="333333"/>
          <w:kern w:val="0"/>
          <w:sz w:val="24"/>
          <w:szCs w:val="24"/>
        </w:rPr>
      </w:pPr>
      <w:r w:rsidRPr="00110064">
        <w:rPr>
          <w:rFonts w:ascii="Calibri" w:eastAsia="黑体" w:hAnsi="Calibri" w:cs="Calibri"/>
          <w:color w:val="333333"/>
          <w:kern w:val="0"/>
          <w:sz w:val="30"/>
          <w:szCs w:val="30"/>
        </w:rPr>
        <w:t> </w:t>
      </w:r>
    </w:p>
    <w:p w:rsidR="00110064" w:rsidRPr="00110064" w:rsidRDefault="00110064" w:rsidP="00110064">
      <w:pPr>
        <w:widowControl/>
        <w:shd w:val="clear" w:color="auto" w:fill="FFFFFF"/>
        <w:spacing w:line="600" w:lineRule="atLeast"/>
        <w:ind w:firstLine="6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附件：1.教育部直属高校固定资产最低使用年限表</w:t>
      </w:r>
    </w:p>
    <w:p w:rsidR="00110064" w:rsidRPr="00110064" w:rsidRDefault="00110064" w:rsidP="00110064">
      <w:pPr>
        <w:widowControl/>
        <w:shd w:val="clear" w:color="auto" w:fill="FFFFFF"/>
        <w:spacing w:line="600" w:lineRule="atLeast"/>
        <w:ind w:firstLine="15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2.科技成果评估项目备案情况汇总表</w:t>
      </w:r>
    </w:p>
    <w:p w:rsidR="00110064" w:rsidRPr="00110064" w:rsidRDefault="00110064" w:rsidP="00110064">
      <w:pPr>
        <w:widowControl/>
        <w:shd w:val="clear" w:color="auto" w:fill="FFFFFF"/>
        <w:spacing w:line="600" w:lineRule="atLeast"/>
        <w:ind w:firstLine="1500"/>
        <w:jc w:val="left"/>
        <w:rPr>
          <w:rFonts w:ascii="Segoe UI" w:eastAsia="宋体" w:hAnsi="Segoe UI" w:cs="Segoe UI"/>
          <w:color w:val="333333"/>
          <w:kern w:val="0"/>
          <w:sz w:val="24"/>
          <w:szCs w:val="24"/>
        </w:rPr>
      </w:pPr>
      <w:r w:rsidRPr="00110064">
        <w:rPr>
          <w:rFonts w:ascii="仿宋_GB2312" w:eastAsia="仿宋_GB2312" w:hAnsi="Segoe UI" w:cs="Segoe UI" w:hint="eastAsia"/>
          <w:color w:val="333333"/>
          <w:kern w:val="0"/>
          <w:sz w:val="30"/>
          <w:szCs w:val="30"/>
        </w:rPr>
        <w:t> </w:t>
      </w:r>
    </w:p>
    <w:p w:rsidR="00110064" w:rsidRPr="00110064" w:rsidRDefault="00110064" w:rsidP="00110064">
      <w:pPr>
        <w:widowControl/>
        <w:shd w:val="clear" w:color="auto" w:fill="FFFFFF"/>
        <w:spacing w:line="555" w:lineRule="atLeast"/>
        <w:ind w:firstLine="5505"/>
        <w:jc w:val="left"/>
        <w:rPr>
          <w:rFonts w:ascii="Segoe UI" w:eastAsia="宋体" w:hAnsi="Segoe UI" w:cs="Segoe UI"/>
          <w:color w:val="333333"/>
          <w:kern w:val="0"/>
          <w:sz w:val="24"/>
          <w:szCs w:val="24"/>
        </w:rPr>
      </w:pPr>
      <w:r w:rsidRPr="00110064">
        <w:rPr>
          <w:rFonts w:ascii="仿宋_GB2312" w:eastAsia="仿宋_GB2312" w:hAnsi="等线" w:cs="Segoe UI" w:hint="eastAsia"/>
          <w:color w:val="333333"/>
          <w:kern w:val="0"/>
          <w:sz w:val="30"/>
          <w:szCs w:val="30"/>
        </w:rPr>
        <w:t> </w:t>
      </w:r>
      <w:r w:rsidRPr="00110064">
        <w:rPr>
          <w:rFonts w:ascii="仿宋_GB2312" w:eastAsia="仿宋_GB2312" w:hAnsi="等线" w:cs="Segoe UI" w:hint="eastAsia"/>
          <w:color w:val="333333"/>
          <w:kern w:val="0"/>
          <w:sz w:val="30"/>
          <w:szCs w:val="30"/>
        </w:rPr>
        <w:t xml:space="preserve"> </w:t>
      </w:r>
      <w:r w:rsidRPr="00110064">
        <w:rPr>
          <w:rFonts w:ascii="仿宋_GB2312" w:eastAsia="仿宋_GB2312" w:hAnsi="等线" w:cs="Segoe UI" w:hint="eastAsia"/>
          <w:color w:val="333333"/>
          <w:kern w:val="0"/>
          <w:sz w:val="30"/>
          <w:szCs w:val="30"/>
        </w:rPr>
        <w:t> </w:t>
      </w:r>
      <w:r w:rsidRPr="00110064">
        <w:rPr>
          <w:rFonts w:ascii="仿宋_GB2312" w:eastAsia="仿宋_GB2312" w:hAnsi="等线" w:cs="Segoe UI" w:hint="eastAsia"/>
          <w:color w:val="333333"/>
          <w:kern w:val="0"/>
          <w:sz w:val="30"/>
          <w:szCs w:val="30"/>
        </w:rPr>
        <w:t>教</w:t>
      </w:r>
      <w:r w:rsidRPr="00110064">
        <w:rPr>
          <w:rFonts w:ascii="Segoe UI" w:eastAsia="宋体" w:hAnsi="Segoe UI" w:cs="Segoe UI"/>
          <w:color w:val="333333"/>
          <w:kern w:val="0"/>
          <w:sz w:val="24"/>
          <w:szCs w:val="24"/>
        </w:rPr>
        <w:t xml:space="preserve">　</w:t>
      </w:r>
      <w:r w:rsidRPr="00110064">
        <w:rPr>
          <w:rFonts w:ascii="仿宋_GB2312" w:eastAsia="仿宋_GB2312" w:hAnsi="等线" w:cs="Segoe UI" w:hint="eastAsia"/>
          <w:color w:val="333333"/>
          <w:kern w:val="0"/>
          <w:sz w:val="30"/>
          <w:szCs w:val="30"/>
        </w:rPr>
        <w:t>育</w:t>
      </w:r>
      <w:r w:rsidRPr="00110064">
        <w:rPr>
          <w:rFonts w:ascii="Segoe UI" w:eastAsia="宋体" w:hAnsi="Segoe UI" w:cs="Segoe UI"/>
          <w:color w:val="333333"/>
          <w:kern w:val="0"/>
          <w:sz w:val="24"/>
          <w:szCs w:val="24"/>
        </w:rPr>
        <w:t xml:space="preserve">　</w:t>
      </w:r>
      <w:r w:rsidRPr="00110064">
        <w:rPr>
          <w:rFonts w:ascii="仿宋_GB2312" w:eastAsia="仿宋_GB2312" w:hAnsi="等线" w:cs="Segoe UI" w:hint="eastAsia"/>
          <w:color w:val="333333"/>
          <w:kern w:val="0"/>
          <w:sz w:val="30"/>
          <w:szCs w:val="30"/>
        </w:rPr>
        <w:t>部</w:t>
      </w:r>
    </w:p>
    <w:p w:rsidR="00110064" w:rsidRPr="00110064" w:rsidRDefault="00110064" w:rsidP="00110064">
      <w:pPr>
        <w:widowControl/>
        <w:shd w:val="clear" w:color="auto" w:fill="FFFFFF"/>
        <w:jc w:val="left"/>
        <w:rPr>
          <w:rFonts w:ascii="Segoe UI" w:eastAsia="宋体" w:hAnsi="Segoe UI" w:cs="Segoe UI"/>
          <w:color w:val="333333"/>
          <w:kern w:val="0"/>
          <w:sz w:val="24"/>
          <w:szCs w:val="24"/>
        </w:rPr>
      </w:pPr>
      <w:r w:rsidRPr="00110064">
        <w:rPr>
          <w:rFonts w:ascii="等线" w:eastAsia="等线" w:hAnsi="等线" w:cs="Segoe UI" w:hint="eastAsia"/>
          <w:color w:val="333333"/>
          <w:kern w:val="0"/>
          <w:sz w:val="30"/>
          <w:szCs w:val="30"/>
        </w:rPr>
        <w:t>                         </w:t>
      </w:r>
      <w:r>
        <w:rPr>
          <w:rFonts w:ascii="等线" w:eastAsia="等线" w:hAnsi="等线" w:cs="Segoe UI"/>
          <w:color w:val="333333"/>
          <w:kern w:val="0"/>
          <w:sz w:val="30"/>
          <w:szCs w:val="30"/>
        </w:rPr>
        <w:t xml:space="preserve">                </w:t>
      </w:r>
      <w:r w:rsidRPr="00110064">
        <w:rPr>
          <w:rFonts w:ascii="等线" w:eastAsia="等线" w:hAnsi="等线" w:cs="Segoe UI" w:hint="eastAsia"/>
          <w:color w:val="333333"/>
          <w:kern w:val="0"/>
          <w:sz w:val="30"/>
          <w:szCs w:val="30"/>
        </w:rPr>
        <w:t>2017</w:t>
      </w:r>
      <w:r w:rsidRPr="00110064">
        <w:rPr>
          <w:rFonts w:ascii="仿宋_GB2312" w:eastAsia="仿宋_GB2312" w:hAnsi="等线" w:cs="Segoe UI" w:hint="eastAsia"/>
          <w:color w:val="333333"/>
          <w:kern w:val="0"/>
          <w:sz w:val="30"/>
          <w:szCs w:val="30"/>
        </w:rPr>
        <w:t>年</w:t>
      </w:r>
      <w:r w:rsidRPr="00110064">
        <w:rPr>
          <w:rFonts w:ascii="等线" w:eastAsia="等线" w:hAnsi="等线" w:cs="Segoe UI" w:hint="eastAsia"/>
          <w:color w:val="333333"/>
          <w:kern w:val="0"/>
          <w:sz w:val="30"/>
          <w:szCs w:val="30"/>
        </w:rPr>
        <w:t>12 </w:t>
      </w:r>
      <w:r w:rsidRPr="00110064">
        <w:rPr>
          <w:rFonts w:ascii="仿宋_GB2312" w:eastAsia="仿宋_GB2312" w:hAnsi="等线" w:cs="Segoe UI" w:hint="eastAsia"/>
          <w:color w:val="333333"/>
          <w:kern w:val="0"/>
          <w:sz w:val="30"/>
          <w:szCs w:val="30"/>
        </w:rPr>
        <w:t>月</w:t>
      </w:r>
      <w:r w:rsidRPr="00110064">
        <w:rPr>
          <w:rFonts w:ascii="等线" w:eastAsia="等线" w:hAnsi="等线" w:cs="Segoe UI" w:hint="eastAsia"/>
          <w:color w:val="333333"/>
          <w:kern w:val="0"/>
          <w:sz w:val="30"/>
          <w:szCs w:val="30"/>
        </w:rPr>
        <w:t>15 </w:t>
      </w:r>
      <w:r w:rsidRPr="00110064">
        <w:rPr>
          <w:rFonts w:ascii="仿宋_GB2312" w:eastAsia="仿宋_GB2312" w:hAnsi="等线" w:cs="Segoe UI" w:hint="eastAsia"/>
          <w:color w:val="333333"/>
          <w:kern w:val="0"/>
          <w:sz w:val="30"/>
          <w:szCs w:val="30"/>
        </w:rPr>
        <w:t>日</w:t>
      </w:r>
      <w:r w:rsidRPr="00110064">
        <w:rPr>
          <w:rFonts w:ascii="仿宋_GB2312" w:eastAsia="仿宋_GB2312" w:hAnsi="Segoe UI" w:cs="Segoe UI" w:hint="eastAsia"/>
          <w:color w:val="333333"/>
          <w:kern w:val="0"/>
          <w:sz w:val="30"/>
          <w:szCs w:val="30"/>
        </w:rPr>
        <w:t> </w:t>
      </w:r>
    </w:p>
    <w:p w:rsidR="00374100" w:rsidRDefault="00374100">
      <w:pPr>
        <w:widowControl/>
        <w:jc w:val="left"/>
      </w:pPr>
      <w:r>
        <w:br w:type="page"/>
      </w:r>
    </w:p>
    <w:p w:rsidR="00374100" w:rsidRDefault="00374100" w:rsidP="00374100">
      <w:pPr>
        <w:spacing w:line="360" w:lineRule="auto"/>
        <w:jc w:val="left"/>
        <w:rPr>
          <w:rFonts w:ascii="黑体" w:eastAsia="黑体" w:hAnsi="黑体" w:cs="黑体"/>
          <w:sz w:val="28"/>
          <w:szCs w:val="28"/>
        </w:rPr>
      </w:pPr>
      <w:r>
        <w:rPr>
          <w:rFonts w:ascii="黑体" w:eastAsia="黑体" w:hAnsi="黑体" w:cs="黑体" w:hint="eastAsia"/>
          <w:sz w:val="28"/>
          <w:szCs w:val="28"/>
        </w:rPr>
        <w:lastRenderedPageBreak/>
        <w:t>附件1</w:t>
      </w:r>
    </w:p>
    <w:p w:rsidR="00374100" w:rsidRDefault="00374100" w:rsidP="00374100">
      <w:pPr>
        <w:spacing w:line="360" w:lineRule="auto"/>
        <w:ind w:firstLineChars="200" w:firstLine="720"/>
        <w:jc w:val="center"/>
        <w:rPr>
          <w:rFonts w:ascii="方正小标宋_GBK" w:eastAsia="方正小标宋_GBK"/>
          <w:sz w:val="36"/>
          <w:szCs w:val="36"/>
        </w:rPr>
      </w:pPr>
      <w:r>
        <w:rPr>
          <w:rFonts w:ascii="方正小标宋_GBK" w:eastAsia="方正小标宋_GBK" w:hAnsi="黑体" w:hint="eastAsia"/>
          <w:sz w:val="36"/>
          <w:szCs w:val="36"/>
        </w:rPr>
        <w:t>教育部直属高校固定资产最低使用年限表</w:t>
      </w:r>
    </w:p>
    <w:tbl>
      <w:tblPr>
        <w:tblW w:w="0" w:type="auto"/>
        <w:tblLayout w:type="fixed"/>
        <w:tblLook w:val="04A0" w:firstRow="1" w:lastRow="0" w:firstColumn="1" w:lastColumn="0" w:noHBand="0" w:noVBand="1"/>
      </w:tblPr>
      <w:tblGrid>
        <w:gridCol w:w="2116"/>
        <w:gridCol w:w="1594"/>
        <w:gridCol w:w="2567"/>
        <w:gridCol w:w="2342"/>
      </w:tblGrid>
      <w:tr w:rsidR="00374100" w:rsidTr="00AD7955">
        <w:trPr>
          <w:cantSplit/>
          <w:trHeight w:hRule="exact" w:val="448"/>
        </w:trPr>
        <w:tc>
          <w:tcPr>
            <w:tcW w:w="2116" w:type="dxa"/>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b/>
                <w:bCs/>
                <w:kern w:val="0"/>
                <w:sz w:val="24"/>
              </w:rPr>
            </w:pPr>
            <w:r>
              <w:rPr>
                <w:rFonts w:eastAsia="仿宋_GB2312"/>
                <w:b/>
                <w:bCs/>
                <w:kern w:val="0"/>
                <w:sz w:val="24"/>
              </w:rPr>
              <w:t>固定资产类别</w:t>
            </w: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b/>
                <w:bCs/>
                <w:kern w:val="0"/>
                <w:sz w:val="24"/>
              </w:rPr>
            </w:pPr>
            <w:r>
              <w:rPr>
                <w:rFonts w:eastAsia="仿宋_GB2312"/>
                <w:b/>
                <w:bCs/>
                <w:kern w:val="0"/>
                <w:sz w:val="24"/>
              </w:rPr>
              <w:t>内容</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b/>
                <w:bCs/>
                <w:kern w:val="0"/>
                <w:sz w:val="24"/>
              </w:rPr>
            </w:pPr>
            <w:r>
              <w:rPr>
                <w:rFonts w:eastAsia="仿宋_GB2312" w:hint="eastAsia"/>
                <w:b/>
                <w:bCs/>
                <w:kern w:val="0"/>
                <w:sz w:val="24"/>
              </w:rPr>
              <w:t>最低使用</w:t>
            </w:r>
            <w:r>
              <w:rPr>
                <w:rFonts w:eastAsia="仿宋_GB2312"/>
                <w:b/>
                <w:bCs/>
                <w:kern w:val="0"/>
                <w:sz w:val="24"/>
              </w:rPr>
              <w:t>年限</w:t>
            </w:r>
            <w:r>
              <w:rPr>
                <w:rFonts w:eastAsia="仿宋_GB2312" w:hint="eastAsia"/>
                <w:b/>
                <w:bCs/>
                <w:kern w:val="0"/>
                <w:sz w:val="24"/>
              </w:rPr>
              <w:t>（</w:t>
            </w:r>
            <w:r>
              <w:rPr>
                <w:rFonts w:eastAsia="仿宋_GB2312"/>
                <w:b/>
                <w:bCs/>
                <w:kern w:val="0"/>
                <w:sz w:val="24"/>
              </w:rPr>
              <w:t>年</w:t>
            </w:r>
            <w:r>
              <w:rPr>
                <w:rFonts w:eastAsia="仿宋_GB2312" w:hint="eastAsia"/>
                <w:b/>
                <w:bCs/>
                <w:kern w:val="0"/>
                <w:sz w:val="24"/>
              </w:rPr>
              <w:t>）</w:t>
            </w:r>
          </w:p>
        </w:tc>
      </w:tr>
      <w:tr w:rsidR="00374100" w:rsidTr="00AD7955">
        <w:trPr>
          <w:cantSplit/>
          <w:trHeight w:hRule="exact" w:val="448"/>
        </w:trPr>
        <w:tc>
          <w:tcPr>
            <w:tcW w:w="2116" w:type="dxa"/>
            <w:vMerge w:val="restart"/>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房屋及构筑物</w:t>
            </w:r>
          </w:p>
        </w:tc>
        <w:tc>
          <w:tcPr>
            <w:tcW w:w="1594" w:type="dxa"/>
            <w:vMerge w:val="restart"/>
            <w:tcBorders>
              <w:top w:val="nil"/>
              <w:left w:val="nil"/>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业务及管理用房</w:t>
            </w:r>
          </w:p>
        </w:tc>
        <w:tc>
          <w:tcPr>
            <w:tcW w:w="2567" w:type="dxa"/>
            <w:tcBorders>
              <w:top w:val="nil"/>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钢结构</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1594" w:type="dxa"/>
            <w:vMerge/>
            <w:tcBorders>
              <w:left w:val="nil"/>
              <w:right w:val="single" w:sz="4" w:space="0" w:color="auto"/>
            </w:tcBorders>
            <w:vAlign w:val="center"/>
          </w:tcPr>
          <w:p w:rsidR="00374100" w:rsidRDefault="00374100" w:rsidP="00AD7955">
            <w:pPr>
              <w:widowControl/>
              <w:spacing w:line="360" w:lineRule="auto"/>
              <w:jc w:val="center"/>
              <w:rPr>
                <w:rFonts w:eastAsia="仿宋_GB2312"/>
                <w:kern w:val="0"/>
                <w:sz w:val="24"/>
              </w:rPr>
            </w:pPr>
          </w:p>
        </w:tc>
        <w:tc>
          <w:tcPr>
            <w:tcW w:w="2567" w:type="dxa"/>
            <w:tcBorders>
              <w:top w:val="nil"/>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钢筋混凝土结构</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1594" w:type="dxa"/>
            <w:vMerge/>
            <w:tcBorders>
              <w:left w:val="nil"/>
              <w:right w:val="single" w:sz="4" w:space="0" w:color="auto"/>
            </w:tcBorders>
            <w:vAlign w:val="center"/>
          </w:tcPr>
          <w:p w:rsidR="00374100" w:rsidRDefault="00374100" w:rsidP="00AD7955">
            <w:pPr>
              <w:widowControl/>
              <w:spacing w:line="360" w:lineRule="auto"/>
              <w:jc w:val="center"/>
              <w:rPr>
                <w:rFonts w:eastAsia="仿宋_GB2312"/>
                <w:kern w:val="0"/>
                <w:sz w:val="24"/>
              </w:rPr>
            </w:pPr>
          </w:p>
        </w:tc>
        <w:tc>
          <w:tcPr>
            <w:tcW w:w="2567" w:type="dxa"/>
            <w:tcBorders>
              <w:top w:val="nil"/>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砖混结构</w:t>
            </w:r>
          </w:p>
        </w:tc>
        <w:tc>
          <w:tcPr>
            <w:tcW w:w="2342" w:type="dxa"/>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30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1594" w:type="dxa"/>
            <w:vMerge/>
            <w:tcBorders>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p>
        </w:tc>
        <w:tc>
          <w:tcPr>
            <w:tcW w:w="2567" w:type="dxa"/>
            <w:tcBorders>
              <w:top w:val="nil"/>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砖木结构</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30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简易房</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8</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房屋附属设施</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8</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构筑物</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8</w:t>
            </w:r>
          </w:p>
        </w:tc>
      </w:tr>
      <w:tr w:rsidR="00374100" w:rsidTr="00AD7955">
        <w:trPr>
          <w:cantSplit/>
          <w:trHeight w:hRule="exact" w:val="448"/>
        </w:trPr>
        <w:tc>
          <w:tcPr>
            <w:tcW w:w="2116" w:type="dxa"/>
            <w:vMerge w:val="restart"/>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通用设备</w:t>
            </w: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计算机设备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6</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办公设备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6</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车辆</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8</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图书档案设备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机械设备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电气设备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雷达、无线电和卫星导航设备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通信设备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广播、电视、电影设备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仪器仪表</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电子和通信测量设备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计量标准器具及量具、衡器</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val="restart"/>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专用设备</w:t>
            </w: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探矿、采矿、选矿和</w:t>
            </w:r>
            <w:proofErr w:type="gramStart"/>
            <w:r>
              <w:rPr>
                <w:rFonts w:eastAsia="仿宋_GB2312"/>
                <w:kern w:val="0"/>
                <w:sz w:val="24"/>
              </w:rPr>
              <w:t>造块设备</w:t>
            </w:r>
            <w:proofErr w:type="gramEnd"/>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石油天然气开采专用设备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石油和化学工业专用设备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炼焦和金属冶炼轧制设备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电力工业专用设备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20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非金属矿物制品工业专用设备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核工业专用设备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20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航空航天工业专用设备</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20</w:t>
            </w:r>
          </w:p>
        </w:tc>
      </w:tr>
      <w:tr w:rsidR="00374100" w:rsidTr="00AD7955">
        <w:trPr>
          <w:cantSplit/>
          <w:trHeight w:hRule="exact" w:val="448"/>
        </w:trPr>
        <w:tc>
          <w:tcPr>
            <w:tcW w:w="2116" w:type="dxa"/>
            <w:vMerge/>
            <w:tcBorders>
              <w:top w:val="single" w:sz="4" w:space="0" w:color="auto"/>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工程机械</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农业和林业机械</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木材采集和加工设备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食品加工专用设备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饮料加工设备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烟草加工设备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粮油作物和饲料加工设备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纺织设备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缝纫、服饰、制革和毛皮加工设备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color w:val="000000"/>
                <w:kern w:val="0"/>
                <w:sz w:val="24"/>
              </w:rPr>
            </w:pPr>
            <w:r>
              <w:rPr>
                <w:rFonts w:eastAsia="仿宋_GB2312"/>
                <w:color w:val="000000"/>
                <w:kern w:val="0"/>
                <w:sz w:val="24"/>
              </w:rPr>
              <w:t>造纸和印刷机械</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color w:val="000000"/>
                <w:kern w:val="0"/>
                <w:sz w:val="24"/>
              </w:rPr>
            </w:pPr>
            <w:r>
              <w:rPr>
                <w:rFonts w:eastAsia="仿宋_GB2312"/>
                <w:color w:val="000000"/>
                <w:kern w:val="0"/>
                <w:sz w:val="24"/>
              </w:rPr>
              <w:t>化学药品和中药专用设备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医疗设备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电工、电子专用生产设备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color w:val="000000"/>
                <w:kern w:val="0"/>
                <w:sz w:val="24"/>
              </w:rPr>
            </w:pPr>
            <w:r>
              <w:rPr>
                <w:rFonts w:eastAsia="仿宋_GB2312"/>
                <w:color w:val="000000"/>
                <w:kern w:val="0"/>
                <w:sz w:val="24"/>
              </w:rPr>
              <w:t>安全生产设备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color w:val="000000"/>
                <w:kern w:val="0"/>
                <w:sz w:val="24"/>
              </w:rPr>
            </w:pPr>
            <w:r>
              <w:rPr>
                <w:rFonts w:eastAsia="仿宋_GB2312"/>
                <w:color w:val="000000"/>
                <w:kern w:val="0"/>
                <w:sz w:val="24"/>
              </w:rPr>
              <w:t>邮政专用设备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环境污染防治设备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公安专用设备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3</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水工机械</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殡葬设备及用品</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铁路运输设备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tabs>
                <w:tab w:val="center" w:pos="4153"/>
                <w:tab w:val="right" w:pos="8306"/>
              </w:tabs>
              <w:snapToGrid w:val="0"/>
              <w:spacing w:line="360" w:lineRule="auto"/>
              <w:jc w:val="center"/>
              <w:rPr>
                <w:rFonts w:eastAsia="仿宋_GB2312"/>
                <w:kern w:val="0"/>
                <w:sz w:val="24"/>
              </w:rPr>
            </w:pPr>
            <w:r>
              <w:rPr>
                <w:rFonts w:eastAsia="仿宋_GB2312"/>
                <w:kern w:val="0"/>
                <w:sz w:val="24"/>
              </w:rPr>
              <w:t>水上交通运输设备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航空器及其配套设备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10</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专用仪器仪表</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文艺设备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体育设备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tcBorders>
              <w:top w:val="nil"/>
              <w:left w:val="single" w:sz="4" w:space="0" w:color="auto"/>
              <w:bottom w:val="single" w:sz="4" w:space="0" w:color="auto"/>
              <w:right w:val="single" w:sz="4" w:space="0" w:color="auto"/>
            </w:tcBorders>
            <w:vAlign w:val="center"/>
          </w:tcPr>
          <w:p w:rsidR="00374100" w:rsidRDefault="00374100" w:rsidP="00AD7955">
            <w:pPr>
              <w:widowControl/>
              <w:spacing w:line="360" w:lineRule="auto"/>
              <w:jc w:val="left"/>
              <w:rPr>
                <w:rFonts w:eastAsia="仿宋_GB2312"/>
                <w:kern w:val="0"/>
                <w:sz w:val="24"/>
              </w:rPr>
            </w:pP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娱乐设备</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5</w:t>
            </w:r>
          </w:p>
        </w:tc>
      </w:tr>
      <w:tr w:rsidR="00374100" w:rsidTr="00AD7955">
        <w:trPr>
          <w:cantSplit/>
          <w:trHeight w:hRule="exact" w:val="448"/>
        </w:trPr>
        <w:tc>
          <w:tcPr>
            <w:tcW w:w="2116" w:type="dxa"/>
            <w:vMerge w:val="restart"/>
            <w:tcBorders>
              <w:top w:val="nil"/>
              <w:left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家具、用具及装具</w:t>
            </w:r>
          </w:p>
        </w:tc>
        <w:tc>
          <w:tcPr>
            <w:tcW w:w="4161" w:type="dxa"/>
            <w:gridSpan w:val="2"/>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家具</w:t>
            </w:r>
          </w:p>
        </w:tc>
        <w:tc>
          <w:tcPr>
            <w:tcW w:w="2342" w:type="dxa"/>
            <w:tcBorders>
              <w:top w:val="nil"/>
              <w:left w:val="nil"/>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r>
              <w:rPr>
                <w:rFonts w:eastAsia="仿宋_GB2312"/>
                <w:kern w:val="0"/>
                <w:sz w:val="24"/>
              </w:rPr>
              <w:t>15</w:t>
            </w:r>
          </w:p>
        </w:tc>
      </w:tr>
      <w:tr w:rsidR="00374100" w:rsidTr="00AD7955">
        <w:trPr>
          <w:cantSplit/>
          <w:trHeight w:hRule="exact" w:val="448"/>
        </w:trPr>
        <w:tc>
          <w:tcPr>
            <w:tcW w:w="2116" w:type="dxa"/>
            <w:vMerge/>
            <w:tcBorders>
              <w:left w:val="single" w:sz="4" w:space="0" w:color="auto"/>
              <w:bottom w:val="single" w:sz="4" w:space="0" w:color="auto"/>
              <w:right w:val="single" w:sz="4" w:space="0" w:color="auto"/>
            </w:tcBorders>
            <w:vAlign w:val="center"/>
          </w:tcPr>
          <w:p w:rsidR="00374100" w:rsidRDefault="00374100" w:rsidP="00AD7955">
            <w:pPr>
              <w:widowControl/>
              <w:spacing w:line="360" w:lineRule="auto"/>
              <w:jc w:val="center"/>
              <w:rPr>
                <w:rFonts w:eastAsia="仿宋_GB2312"/>
                <w:kern w:val="0"/>
                <w:sz w:val="24"/>
              </w:rPr>
            </w:pPr>
          </w:p>
        </w:tc>
        <w:tc>
          <w:tcPr>
            <w:tcW w:w="4161" w:type="dxa"/>
            <w:gridSpan w:val="2"/>
            <w:tcBorders>
              <w:top w:val="single" w:sz="4" w:space="0" w:color="auto"/>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用具、装具</w:t>
            </w:r>
          </w:p>
        </w:tc>
        <w:tc>
          <w:tcPr>
            <w:tcW w:w="2342" w:type="dxa"/>
            <w:tcBorders>
              <w:top w:val="single" w:sz="4" w:space="0" w:color="auto"/>
              <w:left w:val="nil"/>
              <w:bottom w:val="single" w:sz="4" w:space="0" w:color="auto"/>
              <w:right w:val="single" w:sz="4" w:space="0" w:color="auto"/>
            </w:tcBorders>
            <w:vAlign w:val="center"/>
          </w:tcPr>
          <w:p w:rsidR="00374100" w:rsidRDefault="00374100" w:rsidP="00AD7955">
            <w:pPr>
              <w:spacing w:line="360" w:lineRule="auto"/>
              <w:jc w:val="center"/>
              <w:rPr>
                <w:rFonts w:eastAsia="仿宋_GB2312"/>
                <w:kern w:val="0"/>
                <w:sz w:val="24"/>
              </w:rPr>
            </w:pPr>
            <w:r>
              <w:rPr>
                <w:rFonts w:eastAsia="仿宋_GB2312"/>
                <w:kern w:val="0"/>
                <w:sz w:val="24"/>
              </w:rPr>
              <w:t>5</w:t>
            </w:r>
          </w:p>
        </w:tc>
      </w:tr>
    </w:tbl>
    <w:p w:rsidR="00374100" w:rsidRDefault="00374100" w:rsidP="00374100">
      <w:pPr>
        <w:spacing w:line="560" w:lineRule="exact"/>
        <w:ind w:firstLineChars="200" w:firstLine="560"/>
        <w:jc w:val="left"/>
        <w:rPr>
          <w:rFonts w:ascii="黑体" w:eastAsia="黑体" w:hAnsi="黑体" w:cs="黑体"/>
          <w:kern w:val="0"/>
          <w:sz w:val="28"/>
          <w:szCs w:val="28"/>
        </w:rPr>
        <w:sectPr w:rsidR="00374100">
          <w:footerReference w:type="default" r:id="rId4"/>
          <w:pgSz w:w="11906" w:h="16838"/>
          <w:pgMar w:top="1440" w:right="1800" w:bottom="1440" w:left="1800" w:header="851" w:footer="992" w:gutter="0"/>
          <w:cols w:space="425"/>
          <w:docGrid w:type="lines" w:linePitch="312"/>
        </w:sectPr>
      </w:pPr>
    </w:p>
    <w:p w:rsidR="00374100" w:rsidRDefault="00374100" w:rsidP="00374100"/>
    <w:tbl>
      <w:tblPr>
        <w:tblW w:w="14885" w:type="dxa"/>
        <w:tblInd w:w="-318" w:type="dxa"/>
        <w:tblLayout w:type="fixed"/>
        <w:tblLook w:val="04A0" w:firstRow="1" w:lastRow="0" w:firstColumn="1" w:lastColumn="0" w:noHBand="0" w:noVBand="1"/>
      </w:tblPr>
      <w:tblGrid>
        <w:gridCol w:w="1844"/>
        <w:gridCol w:w="587"/>
        <w:gridCol w:w="830"/>
        <w:gridCol w:w="250"/>
        <w:gridCol w:w="884"/>
        <w:gridCol w:w="196"/>
        <w:gridCol w:w="938"/>
        <w:gridCol w:w="142"/>
        <w:gridCol w:w="851"/>
        <w:gridCol w:w="229"/>
        <w:gridCol w:w="763"/>
        <w:gridCol w:w="317"/>
        <w:gridCol w:w="817"/>
        <w:gridCol w:w="263"/>
        <w:gridCol w:w="871"/>
        <w:gridCol w:w="209"/>
        <w:gridCol w:w="783"/>
        <w:gridCol w:w="297"/>
        <w:gridCol w:w="837"/>
        <w:gridCol w:w="243"/>
        <w:gridCol w:w="749"/>
        <w:gridCol w:w="331"/>
        <w:gridCol w:w="1654"/>
      </w:tblGrid>
      <w:tr w:rsidR="00374100" w:rsidRPr="00374100" w:rsidTr="00AD7955">
        <w:trPr>
          <w:trHeight w:val="375"/>
        </w:trPr>
        <w:tc>
          <w:tcPr>
            <w:tcW w:w="2431"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b/>
                <w:bCs/>
                <w:kern w:val="0"/>
                <w:sz w:val="28"/>
                <w:szCs w:val="28"/>
              </w:rPr>
            </w:pPr>
            <w:r w:rsidRPr="00374100">
              <w:rPr>
                <w:rFonts w:ascii="黑体" w:eastAsia="黑体" w:hAnsi="黑体" w:cs="黑体" w:hint="eastAsia"/>
                <w:kern w:val="0"/>
                <w:sz w:val="28"/>
                <w:szCs w:val="28"/>
              </w:rPr>
              <w:t xml:space="preserve">  附件2</w:t>
            </w: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654"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r>
      <w:tr w:rsidR="00374100" w:rsidRPr="00374100" w:rsidTr="00AD7955">
        <w:trPr>
          <w:trHeight w:val="285"/>
        </w:trPr>
        <w:tc>
          <w:tcPr>
            <w:tcW w:w="2431"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654"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r>
      <w:tr w:rsidR="00374100" w:rsidRPr="00374100" w:rsidTr="00AD7955">
        <w:trPr>
          <w:trHeight w:val="450"/>
        </w:trPr>
        <w:tc>
          <w:tcPr>
            <w:tcW w:w="14885" w:type="dxa"/>
            <w:gridSpan w:val="23"/>
            <w:tcBorders>
              <w:top w:val="nil"/>
              <w:left w:val="nil"/>
              <w:bottom w:val="nil"/>
              <w:right w:val="nil"/>
            </w:tcBorders>
            <w:vAlign w:val="center"/>
          </w:tcPr>
          <w:p w:rsidR="00374100" w:rsidRPr="00374100" w:rsidRDefault="00374100" w:rsidP="00374100">
            <w:pPr>
              <w:widowControl/>
              <w:jc w:val="center"/>
              <w:rPr>
                <w:rFonts w:ascii="方正小标宋_GBK" w:eastAsia="方正小标宋_GBK" w:hAnsi="黑体" w:cs="宋体"/>
                <w:bCs/>
                <w:kern w:val="0"/>
                <w:sz w:val="36"/>
                <w:szCs w:val="36"/>
              </w:rPr>
            </w:pPr>
            <w:r w:rsidRPr="00374100">
              <w:rPr>
                <w:rFonts w:ascii="方正小标宋_GBK" w:eastAsia="方正小标宋_GBK" w:hAnsi="黑体" w:cs="宋体" w:hint="eastAsia"/>
                <w:bCs/>
                <w:kern w:val="0"/>
                <w:sz w:val="36"/>
                <w:szCs w:val="36"/>
              </w:rPr>
              <w:t>科技成果评估项目备案情况汇总表</w:t>
            </w:r>
          </w:p>
        </w:tc>
      </w:tr>
      <w:tr w:rsidR="00374100" w:rsidRPr="00374100" w:rsidTr="00AD7955">
        <w:trPr>
          <w:trHeight w:val="285"/>
        </w:trPr>
        <w:tc>
          <w:tcPr>
            <w:tcW w:w="1844"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417"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330" w:type="dxa"/>
            <w:gridSpan w:val="3"/>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851"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309" w:type="dxa"/>
            <w:gridSpan w:val="3"/>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871"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289" w:type="dxa"/>
            <w:gridSpan w:val="3"/>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749" w:type="dxa"/>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c>
          <w:tcPr>
            <w:tcW w:w="1985" w:type="dxa"/>
            <w:gridSpan w:val="2"/>
            <w:tcBorders>
              <w:top w:val="nil"/>
              <w:left w:val="nil"/>
              <w:bottom w:val="nil"/>
              <w:right w:val="nil"/>
            </w:tcBorders>
            <w:vAlign w:val="center"/>
          </w:tcPr>
          <w:p w:rsidR="00374100" w:rsidRPr="00374100" w:rsidRDefault="00374100" w:rsidP="00374100">
            <w:pPr>
              <w:widowControl/>
              <w:jc w:val="left"/>
              <w:rPr>
                <w:rFonts w:ascii="等线" w:eastAsia="等线" w:hAnsi="等线" w:cs="宋体"/>
                <w:kern w:val="0"/>
                <w:sz w:val="24"/>
              </w:rPr>
            </w:pPr>
          </w:p>
        </w:tc>
      </w:tr>
      <w:tr w:rsidR="00374100" w:rsidRPr="00374100" w:rsidTr="00AD7955">
        <w:trPr>
          <w:trHeight w:val="510"/>
        </w:trPr>
        <w:tc>
          <w:tcPr>
            <w:tcW w:w="1844" w:type="dxa"/>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编制单位：</w:t>
            </w:r>
          </w:p>
        </w:tc>
        <w:tc>
          <w:tcPr>
            <w:tcW w:w="1417" w:type="dxa"/>
            <w:gridSpan w:val="2"/>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330" w:type="dxa"/>
            <w:gridSpan w:val="3"/>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851" w:type="dxa"/>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309" w:type="dxa"/>
            <w:gridSpan w:val="3"/>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871" w:type="dxa"/>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289" w:type="dxa"/>
            <w:gridSpan w:val="3"/>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080" w:type="dxa"/>
            <w:gridSpan w:val="2"/>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749" w:type="dxa"/>
            <w:tcBorders>
              <w:top w:val="nil"/>
              <w:left w:val="nil"/>
              <w:bottom w:val="nil"/>
              <w:right w:val="nil"/>
            </w:tcBorders>
            <w:vAlign w:val="center"/>
          </w:tcPr>
          <w:p w:rsidR="00374100" w:rsidRPr="00374100" w:rsidRDefault="00374100" w:rsidP="00374100">
            <w:pPr>
              <w:widowControl/>
              <w:jc w:val="left"/>
              <w:rPr>
                <w:rFonts w:ascii="仿宋_GB2312" w:eastAsia="仿宋_GB2312" w:hAnsi="等线" w:cs="宋体"/>
                <w:kern w:val="0"/>
                <w:sz w:val="24"/>
              </w:rPr>
            </w:pPr>
          </w:p>
        </w:tc>
        <w:tc>
          <w:tcPr>
            <w:tcW w:w="1985" w:type="dxa"/>
            <w:gridSpan w:val="2"/>
            <w:tcBorders>
              <w:top w:val="nil"/>
              <w:left w:val="nil"/>
              <w:bottom w:val="nil"/>
              <w:right w:val="nil"/>
            </w:tcBorders>
            <w:vAlign w:val="center"/>
          </w:tcPr>
          <w:p w:rsidR="00374100" w:rsidRPr="00374100" w:rsidRDefault="00374100" w:rsidP="00374100">
            <w:pPr>
              <w:widowControl/>
              <w:ind w:right="120"/>
              <w:jc w:val="right"/>
              <w:rPr>
                <w:rFonts w:ascii="仿宋_GB2312" w:eastAsia="仿宋_GB2312" w:hAnsi="等线" w:cs="宋体"/>
                <w:kern w:val="0"/>
                <w:sz w:val="24"/>
              </w:rPr>
            </w:pPr>
            <w:r w:rsidRPr="00374100">
              <w:rPr>
                <w:rFonts w:ascii="仿宋_GB2312" w:eastAsia="仿宋_GB2312" w:hAnsi="等线" w:cs="宋体" w:hint="eastAsia"/>
                <w:kern w:val="0"/>
                <w:sz w:val="24"/>
              </w:rPr>
              <w:t>金额单位：万元</w:t>
            </w:r>
          </w:p>
        </w:tc>
      </w:tr>
      <w:tr w:rsidR="00374100" w:rsidRPr="00374100" w:rsidTr="00AD7955">
        <w:trPr>
          <w:trHeight w:val="402"/>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经济行为类型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备案</w:t>
            </w:r>
            <w:r w:rsidRPr="00374100">
              <w:rPr>
                <w:rFonts w:ascii="仿宋_GB2312" w:eastAsia="仿宋_GB2312" w:hAnsi="等线" w:cs="Times New Roman" w:hint="eastAsia"/>
                <w:kern w:val="0"/>
                <w:sz w:val="24"/>
              </w:rPr>
              <w:t xml:space="preserve">                     </w:t>
            </w:r>
            <w:r w:rsidRPr="00374100">
              <w:rPr>
                <w:rFonts w:ascii="仿宋_GB2312" w:eastAsia="仿宋_GB2312" w:hAnsi="等线" w:cs="宋体" w:hint="eastAsia"/>
                <w:kern w:val="0"/>
                <w:sz w:val="24"/>
              </w:rPr>
              <w:t>项目数</w:t>
            </w:r>
          </w:p>
        </w:tc>
        <w:tc>
          <w:tcPr>
            <w:tcW w:w="3261" w:type="dxa"/>
            <w:gridSpan w:val="6"/>
            <w:tcBorders>
              <w:top w:val="single" w:sz="4" w:space="0" w:color="auto"/>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账面价值</w:t>
            </w:r>
          </w:p>
        </w:tc>
        <w:tc>
          <w:tcPr>
            <w:tcW w:w="3260" w:type="dxa"/>
            <w:gridSpan w:val="6"/>
            <w:tcBorders>
              <w:top w:val="single" w:sz="4" w:space="0" w:color="auto"/>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评估价值</w:t>
            </w:r>
          </w:p>
        </w:tc>
        <w:tc>
          <w:tcPr>
            <w:tcW w:w="3118" w:type="dxa"/>
            <w:gridSpan w:val="6"/>
            <w:tcBorders>
              <w:top w:val="single" w:sz="4" w:space="0" w:color="auto"/>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增值率（</w:t>
            </w:r>
            <w:r w:rsidRPr="00374100">
              <w:rPr>
                <w:rFonts w:ascii="仿宋_GB2312" w:eastAsia="仿宋_GB2312" w:hAnsi="等线" w:cs="Times New Roman" w:hint="eastAsia"/>
                <w:kern w:val="0"/>
                <w:sz w:val="24"/>
              </w:rPr>
              <w:t>%</w:t>
            </w:r>
            <w:r w:rsidRPr="00374100">
              <w:rPr>
                <w:rFonts w:ascii="仿宋_GB2312" w:eastAsia="仿宋_GB2312" w:hAnsi="等线" w:cs="宋体" w:hint="eastAsia"/>
                <w:kern w:val="0"/>
                <w:sz w:val="24"/>
              </w:rPr>
              <w:t>）</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备注</w:t>
            </w:r>
          </w:p>
        </w:tc>
      </w:tr>
      <w:tr w:rsidR="00374100" w:rsidRPr="00374100" w:rsidTr="00AD7955">
        <w:trPr>
          <w:trHeight w:val="402"/>
        </w:trPr>
        <w:tc>
          <w:tcPr>
            <w:tcW w:w="1844" w:type="dxa"/>
            <w:vMerge/>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资产</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负债</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净资产</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资产</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负债</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净资产</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资产</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负债</w:t>
            </w:r>
          </w:p>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总额</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center"/>
              <w:rPr>
                <w:rFonts w:ascii="仿宋_GB2312" w:eastAsia="仿宋_GB2312" w:hAnsi="等线" w:cs="宋体"/>
                <w:kern w:val="0"/>
                <w:sz w:val="24"/>
              </w:rPr>
            </w:pPr>
            <w:r w:rsidRPr="00374100">
              <w:rPr>
                <w:rFonts w:ascii="仿宋_GB2312" w:eastAsia="仿宋_GB2312" w:hAnsi="等线" w:cs="宋体" w:hint="eastAsia"/>
                <w:kern w:val="0"/>
                <w:sz w:val="24"/>
              </w:rPr>
              <w:t>净资产</w:t>
            </w: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p>
        </w:tc>
      </w:tr>
      <w:tr w:rsidR="00374100" w:rsidRPr="00374100" w:rsidTr="00AD7955">
        <w:trPr>
          <w:trHeight w:val="402"/>
        </w:trPr>
        <w:tc>
          <w:tcPr>
            <w:tcW w:w="1844" w:type="dxa"/>
            <w:tcBorders>
              <w:top w:val="nil"/>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转让</w:t>
            </w:r>
          </w:p>
        </w:tc>
        <w:tc>
          <w:tcPr>
            <w:tcW w:w="1417"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985"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r>
      <w:tr w:rsidR="00374100" w:rsidRPr="00374100" w:rsidTr="00AD7955">
        <w:trPr>
          <w:trHeight w:val="402"/>
        </w:trPr>
        <w:tc>
          <w:tcPr>
            <w:tcW w:w="1844" w:type="dxa"/>
            <w:tcBorders>
              <w:top w:val="nil"/>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许可</w:t>
            </w:r>
          </w:p>
        </w:tc>
        <w:tc>
          <w:tcPr>
            <w:tcW w:w="1417"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985"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r>
      <w:tr w:rsidR="00374100" w:rsidRPr="00374100" w:rsidTr="00AD7955">
        <w:trPr>
          <w:trHeight w:val="402"/>
        </w:trPr>
        <w:tc>
          <w:tcPr>
            <w:tcW w:w="1844" w:type="dxa"/>
            <w:tcBorders>
              <w:top w:val="nil"/>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作价投资</w:t>
            </w:r>
          </w:p>
        </w:tc>
        <w:tc>
          <w:tcPr>
            <w:tcW w:w="1417"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985"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r>
      <w:tr w:rsidR="00374100" w:rsidRPr="00374100" w:rsidTr="00AD7955">
        <w:trPr>
          <w:trHeight w:val="402"/>
        </w:trPr>
        <w:tc>
          <w:tcPr>
            <w:tcW w:w="1844" w:type="dxa"/>
            <w:tcBorders>
              <w:top w:val="nil"/>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其他</w:t>
            </w:r>
          </w:p>
        </w:tc>
        <w:tc>
          <w:tcPr>
            <w:tcW w:w="1417"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985"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r>
      <w:tr w:rsidR="00374100" w:rsidRPr="00374100" w:rsidTr="00AD7955">
        <w:trPr>
          <w:trHeight w:val="402"/>
        </w:trPr>
        <w:tc>
          <w:tcPr>
            <w:tcW w:w="1844" w:type="dxa"/>
            <w:tcBorders>
              <w:top w:val="nil"/>
              <w:left w:val="single" w:sz="4" w:space="0" w:color="auto"/>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合计</w:t>
            </w:r>
          </w:p>
        </w:tc>
        <w:tc>
          <w:tcPr>
            <w:tcW w:w="1417"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3"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134"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992"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c>
          <w:tcPr>
            <w:tcW w:w="1985" w:type="dxa"/>
            <w:gridSpan w:val="2"/>
            <w:tcBorders>
              <w:top w:val="nil"/>
              <w:left w:val="nil"/>
              <w:bottom w:val="single" w:sz="4" w:space="0" w:color="auto"/>
              <w:right w:val="single" w:sz="4" w:space="0" w:color="auto"/>
            </w:tcBorders>
            <w:vAlign w:val="center"/>
          </w:tcPr>
          <w:p w:rsidR="00374100" w:rsidRPr="00374100" w:rsidRDefault="00374100" w:rsidP="00374100">
            <w:pPr>
              <w:widowControl/>
              <w:jc w:val="left"/>
              <w:rPr>
                <w:rFonts w:ascii="仿宋_GB2312" w:eastAsia="仿宋_GB2312" w:hAnsi="等线" w:cs="宋体"/>
                <w:kern w:val="0"/>
                <w:sz w:val="24"/>
              </w:rPr>
            </w:pPr>
            <w:r w:rsidRPr="00374100">
              <w:rPr>
                <w:rFonts w:ascii="仿宋_GB2312" w:eastAsia="仿宋_GB2312" w:hAnsi="等线" w:cs="宋体" w:hint="eastAsia"/>
                <w:kern w:val="0"/>
                <w:sz w:val="24"/>
              </w:rPr>
              <w:t xml:space="preserve">　</w:t>
            </w:r>
          </w:p>
        </w:tc>
      </w:tr>
    </w:tbl>
    <w:p w:rsidR="00374100" w:rsidRPr="00374100" w:rsidRDefault="00374100" w:rsidP="00374100">
      <w:pPr>
        <w:spacing w:line="560" w:lineRule="exact"/>
        <w:ind w:firstLineChars="200" w:firstLine="560"/>
        <w:jc w:val="left"/>
        <w:rPr>
          <w:rFonts w:ascii="仿宋_GB2312" w:eastAsia="仿宋_GB2312" w:hAnsi="等线" w:cs="Times New Roman"/>
          <w:sz w:val="28"/>
          <w:szCs w:val="28"/>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sectPr w:rsidR="00374100" w:rsidRPr="00374100">
          <w:footerReference w:type="even" r:id="rId5"/>
          <w:footerReference w:type="default" r:id="rId6"/>
          <w:pgSz w:w="16838" w:h="11906" w:orient="landscape"/>
          <w:pgMar w:top="1531" w:right="1814" w:bottom="1531" w:left="1814" w:header="851" w:footer="1313" w:gutter="0"/>
          <w:cols w:space="425"/>
          <w:docGrid w:type="lines" w:linePitch="312"/>
        </w:sect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p>
    <w:p w:rsidR="00374100" w:rsidRPr="00374100" w:rsidRDefault="00374100" w:rsidP="00374100">
      <w:pPr>
        <w:spacing w:line="560" w:lineRule="exact"/>
        <w:rPr>
          <w:rFonts w:ascii="仿宋_GB2312" w:eastAsia="仿宋_GB2312" w:hAnsi="等线" w:cs="Times New Roman"/>
          <w:sz w:val="30"/>
          <w:szCs w:val="30"/>
        </w:rPr>
      </w:pPr>
      <w:r w:rsidRPr="00374100">
        <w:rPr>
          <w:rFonts w:ascii="仿宋_GB2312" w:eastAsia="仿宋_GB2312" w:hAnsi="等线" w:cs="Times New Roman" w:hint="eastAsia"/>
          <w:sz w:val="30"/>
          <w:szCs w:val="30"/>
        </w:rPr>
        <w:t>（此件主动公开）</w:t>
      </w:r>
    </w:p>
    <w:tbl>
      <w:tblPr>
        <w:tblpPr w:leftFromText="181" w:rightFromText="181" w:vertAnchor="page" w:horzAnchor="margin" w:tblpY="13364"/>
        <w:tblOverlap w:val="never"/>
        <w:tblW w:w="0" w:type="auto"/>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9"/>
      </w:tblGrid>
      <w:tr w:rsidR="00374100" w:rsidRPr="00374100" w:rsidTr="00AD7955">
        <w:trPr>
          <w:trHeight w:val="562"/>
        </w:trPr>
        <w:tc>
          <w:tcPr>
            <w:tcW w:w="8829" w:type="dxa"/>
            <w:vAlign w:val="center"/>
          </w:tcPr>
          <w:p w:rsidR="00374100" w:rsidRPr="00374100" w:rsidRDefault="00374100" w:rsidP="00374100">
            <w:pPr>
              <w:adjustRightInd w:val="0"/>
              <w:snapToGrid w:val="0"/>
              <w:spacing w:line="300" w:lineRule="exact"/>
              <w:rPr>
                <w:rFonts w:ascii="等线" w:eastAsia="仿宋_GB2312" w:hAnsi="等线" w:cs="Times New Roman"/>
                <w:sz w:val="28"/>
                <w:szCs w:val="28"/>
              </w:rPr>
            </w:pPr>
            <w:r w:rsidRPr="00374100">
              <w:rPr>
                <w:rFonts w:ascii="等线" w:eastAsia="仿宋_GB2312" w:hAnsi="等线" w:cs="Times New Roman" w:hint="eastAsia"/>
                <w:sz w:val="28"/>
                <w:szCs w:val="28"/>
              </w:rPr>
              <w:t>部内</w:t>
            </w:r>
            <w:r w:rsidRPr="00374100">
              <w:rPr>
                <w:rFonts w:ascii="等线" w:eastAsia="仿宋_GB2312" w:hAnsi="等线" w:cs="Times New Roman"/>
                <w:sz w:val="28"/>
                <w:szCs w:val="28"/>
              </w:rPr>
              <w:t>发送：</w:t>
            </w:r>
            <w:r w:rsidRPr="00374100">
              <w:rPr>
                <w:rFonts w:ascii="等线" w:eastAsia="仿宋_GB2312" w:hAnsi="等线" w:cs="Times New Roman" w:hint="eastAsia"/>
                <w:sz w:val="28"/>
                <w:szCs w:val="28"/>
              </w:rPr>
              <w:t>有关部领导，办公厅、政法司、人事司、科技司</w:t>
            </w:r>
          </w:p>
        </w:tc>
      </w:tr>
      <w:tr w:rsidR="00374100" w:rsidRPr="00374100" w:rsidTr="00AD7955">
        <w:trPr>
          <w:trHeight w:val="493"/>
        </w:trPr>
        <w:tc>
          <w:tcPr>
            <w:tcW w:w="8829" w:type="dxa"/>
            <w:vAlign w:val="center"/>
          </w:tcPr>
          <w:p w:rsidR="00374100" w:rsidRPr="00374100" w:rsidRDefault="00374100" w:rsidP="00374100">
            <w:pPr>
              <w:spacing w:line="300" w:lineRule="exact"/>
              <w:rPr>
                <w:rFonts w:ascii="等线" w:eastAsia="仿宋_GB2312" w:hAnsi="等线" w:cs="Times New Roman"/>
                <w:sz w:val="28"/>
                <w:szCs w:val="28"/>
              </w:rPr>
            </w:pPr>
            <w:r w:rsidRPr="00374100">
              <w:rPr>
                <w:rFonts w:ascii="等线" w:eastAsia="仿宋_GB2312" w:hAnsi="等线" w:cs="Times New Roman"/>
                <w:sz w:val="28"/>
                <w:szCs w:val="28"/>
              </w:rPr>
              <w:t>教育部办公厅</w:t>
            </w:r>
            <w:r w:rsidRPr="00374100">
              <w:rPr>
                <w:rFonts w:ascii="等线" w:eastAsia="仿宋_GB2312" w:hAnsi="等线" w:cs="Times New Roman"/>
                <w:sz w:val="28"/>
                <w:szCs w:val="28"/>
              </w:rPr>
              <w:t xml:space="preserve">           </w:t>
            </w:r>
            <w:r w:rsidRPr="00374100">
              <w:rPr>
                <w:rFonts w:ascii="等线" w:eastAsia="仿宋_GB2312" w:hAnsi="等线" w:cs="Times New Roman" w:hint="eastAsia"/>
                <w:sz w:val="28"/>
                <w:szCs w:val="28"/>
              </w:rPr>
              <w:t xml:space="preserve">          </w:t>
            </w:r>
            <w:r w:rsidRPr="00374100">
              <w:rPr>
                <w:rFonts w:ascii="等线" w:eastAsia="仿宋_GB2312" w:hAnsi="等线" w:cs="Times New Roman"/>
                <w:sz w:val="28"/>
                <w:szCs w:val="28"/>
              </w:rPr>
              <w:t xml:space="preserve">    </w:t>
            </w:r>
            <w:r w:rsidRPr="00374100">
              <w:rPr>
                <w:rFonts w:ascii="等线" w:eastAsia="仿宋_GB2312" w:hAnsi="等线" w:cs="Times New Roman" w:hint="eastAsia"/>
                <w:sz w:val="28"/>
                <w:szCs w:val="28"/>
              </w:rPr>
              <w:t xml:space="preserve">  </w:t>
            </w:r>
            <w:r w:rsidRPr="00374100">
              <w:rPr>
                <w:rFonts w:ascii="等线" w:eastAsia="仿宋_GB2312" w:hAnsi="等线" w:cs="Times New Roman"/>
                <w:sz w:val="28"/>
                <w:szCs w:val="28"/>
              </w:rPr>
              <w:t xml:space="preserve"> 201</w:t>
            </w:r>
            <w:r w:rsidRPr="00374100">
              <w:rPr>
                <w:rFonts w:ascii="等线" w:eastAsia="仿宋_GB2312" w:hAnsi="等线" w:cs="Times New Roman" w:hint="eastAsia"/>
                <w:sz w:val="28"/>
                <w:szCs w:val="28"/>
              </w:rPr>
              <w:t>7</w:t>
            </w:r>
            <w:r w:rsidRPr="00374100">
              <w:rPr>
                <w:rFonts w:ascii="等线" w:eastAsia="仿宋_GB2312" w:hAnsi="等线" w:cs="Times New Roman"/>
                <w:sz w:val="28"/>
                <w:szCs w:val="28"/>
              </w:rPr>
              <w:t>年</w:t>
            </w:r>
            <w:r w:rsidRPr="00374100">
              <w:rPr>
                <w:rFonts w:ascii="等线" w:eastAsia="仿宋_GB2312" w:hAnsi="等线" w:cs="Times New Roman" w:hint="eastAsia"/>
                <w:sz w:val="28"/>
                <w:szCs w:val="28"/>
              </w:rPr>
              <w:t xml:space="preserve">12 </w:t>
            </w:r>
            <w:r w:rsidRPr="00374100">
              <w:rPr>
                <w:rFonts w:ascii="等线" w:eastAsia="仿宋_GB2312" w:hAnsi="等线" w:cs="Times New Roman"/>
                <w:sz w:val="28"/>
                <w:szCs w:val="28"/>
              </w:rPr>
              <w:t>月</w:t>
            </w:r>
            <w:r w:rsidRPr="00374100">
              <w:rPr>
                <w:rFonts w:ascii="等线" w:eastAsia="仿宋_GB2312" w:hAnsi="等线" w:cs="Times New Roman" w:hint="eastAsia"/>
                <w:sz w:val="28"/>
                <w:szCs w:val="28"/>
              </w:rPr>
              <w:t>28</w:t>
            </w:r>
            <w:r w:rsidRPr="00374100">
              <w:rPr>
                <w:rFonts w:ascii="等线" w:eastAsia="仿宋_GB2312" w:hAnsi="等线" w:cs="Times New Roman"/>
                <w:sz w:val="28"/>
                <w:szCs w:val="28"/>
              </w:rPr>
              <w:t>日印发</w:t>
            </w:r>
          </w:p>
        </w:tc>
      </w:tr>
    </w:tbl>
    <w:p w:rsidR="00901F0F" w:rsidRPr="00374100" w:rsidRDefault="00901F0F">
      <w:pPr>
        <w:rPr>
          <w:rFonts w:ascii="等线" w:eastAsia="等线" w:hAnsi="等线" w:cs="Times New Roman" w:hint="eastAsia"/>
        </w:rPr>
      </w:pPr>
      <w:bookmarkStart w:id="0" w:name="_GoBack"/>
      <w:bookmarkEnd w:id="0"/>
    </w:p>
    <w:sectPr w:rsidR="00901F0F" w:rsidRPr="00374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71" w:rsidRDefault="00374100">
    <w:pPr>
      <w:pStyle w:val="a5"/>
    </w:pPr>
    <w:r>
      <w:rPr>
        <w:noProof/>
      </w:rPr>
      <mc:AlternateContent>
        <mc:Choice Requires="wps">
          <w:drawing>
            <wp:anchor distT="0" distB="0" distL="114300" distR="114300" simplePos="0" relativeHeight="251659264" behindDoc="0" locked="0" layoutInCell="1" allowOverlap="1" wp14:anchorId="33F285F1" wp14:editId="7A094D7B">
              <wp:simplePos x="0" y="0"/>
              <wp:positionH relativeFrom="margin">
                <wp:align>center</wp:align>
              </wp:positionH>
              <wp:positionV relativeFrom="paragraph">
                <wp:posOffset>0</wp:posOffset>
              </wp:positionV>
              <wp:extent cx="627380" cy="2406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7380" cy="240665"/>
                      </a:xfrm>
                      <a:prstGeom prst="rect">
                        <a:avLst/>
                      </a:prstGeom>
                      <a:noFill/>
                      <a:ln w="6350">
                        <a:noFill/>
                      </a:ln>
                    </wps:spPr>
                    <wps:txbx>
                      <w:txbxContent>
                        <w:p w:rsidR="00900D71" w:rsidRDefault="00374100">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F285F1" id="_x0000_t202" coordsize="21600,21600" o:spt="202" path="m,l,21600r21600,l21600,xe">
              <v:stroke joinstyle="miter"/>
              <v:path gradientshapeok="t" o:connecttype="rect"/>
            </v:shapetype>
            <v:shape id="文本框 9" o:spid="_x0000_s1026" type="#_x0000_t202" style="position:absolute;margin-left:0;margin-top:0;width:49.4pt;height:18.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" filled="f" stroked="f" strokeweight=".5pt">
              <v:textbox style="mso-fit-shape-to-text:t" inset="0,0,0,0">
                <w:txbxContent>
                  <w:p w:rsidR="00900D71" w:rsidRDefault="00374100">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00" w:rsidRDefault="00374100">
    <w:pPr>
      <w:pStyle w:val="a5"/>
      <w:rPr>
        <w:rFonts w:ascii="宋体" w:hAnsi="宋体"/>
        <w:b/>
        <w:sz w:val="32"/>
        <w:szCs w:val="32"/>
      </w:rPr>
    </w:pPr>
    <w:r>
      <w:rPr>
        <w:rFonts w:ascii="宋体" w:hAnsi="宋体" w:hint="eastAsia"/>
        <w:b/>
        <w:sz w:val="32"/>
        <w:szCs w:val="32"/>
      </w:rPr>
      <w:t>—</w:t>
    </w: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00" w:rsidRDefault="00374100">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84"/>
    <w:rsid w:val="00110064"/>
    <w:rsid w:val="00374100"/>
    <w:rsid w:val="00901F0F"/>
    <w:rsid w:val="00ED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3EE9"/>
  <w15:chartTrackingRefBased/>
  <w15:docId w15:val="{A530A59D-4EF8-4356-B3FA-9A30086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1006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100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064"/>
    <w:rPr>
      <w:rFonts w:ascii="宋体" w:eastAsia="宋体" w:hAnsi="宋体" w:cs="宋体"/>
      <w:b/>
      <w:bCs/>
      <w:kern w:val="36"/>
      <w:sz w:val="48"/>
      <w:szCs w:val="48"/>
    </w:rPr>
  </w:style>
  <w:style w:type="character" w:customStyle="1" w:styleId="20">
    <w:name w:val="标题 2 字符"/>
    <w:basedOn w:val="a0"/>
    <w:link w:val="2"/>
    <w:uiPriority w:val="9"/>
    <w:rsid w:val="00110064"/>
    <w:rPr>
      <w:rFonts w:ascii="宋体" w:eastAsia="宋体" w:hAnsi="宋体" w:cs="宋体"/>
      <w:b/>
      <w:bCs/>
      <w:kern w:val="0"/>
      <w:sz w:val="36"/>
      <w:szCs w:val="36"/>
    </w:rPr>
  </w:style>
  <w:style w:type="character" w:customStyle="1" w:styleId="time">
    <w:name w:val="time"/>
    <w:basedOn w:val="a0"/>
    <w:rsid w:val="00110064"/>
  </w:style>
  <w:style w:type="character" w:customStyle="1" w:styleId="typeface">
    <w:name w:val="typeface"/>
    <w:basedOn w:val="a0"/>
    <w:rsid w:val="00110064"/>
  </w:style>
  <w:style w:type="character" w:styleId="a3">
    <w:name w:val="Hyperlink"/>
    <w:basedOn w:val="a0"/>
    <w:uiPriority w:val="99"/>
    <w:semiHidden/>
    <w:unhideWhenUsed/>
    <w:rsid w:val="00110064"/>
    <w:rPr>
      <w:color w:val="0000FF"/>
      <w:u w:val="single"/>
    </w:rPr>
  </w:style>
  <w:style w:type="paragraph" w:styleId="a4">
    <w:name w:val="Normal (Web)"/>
    <w:basedOn w:val="a"/>
    <w:uiPriority w:val="99"/>
    <w:semiHidden/>
    <w:unhideWhenUsed/>
    <w:rsid w:val="00110064"/>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a6"/>
    <w:uiPriority w:val="99"/>
    <w:unhideWhenUsed/>
    <w:qFormat/>
    <w:rsid w:val="00374100"/>
    <w:pPr>
      <w:tabs>
        <w:tab w:val="center" w:pos="4153"/>
        <w:tab w:val="right" w:pos="8306"/>
      </w:tabs>
      <w:snapToGrid w:val="0"/>
      <w:jc w:val="left"/>
    </w:pPr>
    <w:rPr>
      <w:sz w:val="18"/>
      <w:szCs w:val="18"/>
    </w:rPr>
  </w:style>
  <w:style w:type="character" w:customStyle="1" w:styleId="a6">
    <w:name w:val="页脚 字符"/>
    <w:basedOn w:val="a0"/>
    <w:link w:val="a5"/>
    <w:uiPriority w:val="99"/>
    <w:rsid w:val="00374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9279">
      <w:bodyDiv w:val="1"/>
      <w:marLeft w:val="0"/>
      <w:marRight w:val="0"/>
      <w:marTop w:val="0"/>
      <w:marBottom w:val="0"/>
      <w:divBdr>
        <w:top w:val="none" w:sz="0" w:space="0" w:color="auto"/>
        <w:left w:val="none" w:sz="0" w:space="0" w:color="auto"/>
        <w:bottom w:val="none" w:sz="0" w:space="0" w:color="auto"/>
        <w:right w:val="none" w:sz="0" w:space="0" w:color="auto"/>
      </w:divBdr>
      <w:divsChild>
        <w:div w:id="1680236144">
          <w:marLeft w:val="0"/>
          <w:marRight w:val="0"/>
          <w:marTop w:val="0"/>
          <w:marBottom w:val="0"/>
          <w:divBdr>
            <w:top w:val="dashed" w:sz="6" w:space="14" w:color="CCCCCC"/>
            <w:left w:val="none" w:sz="0" w:space="0" w:color="auto"/>
            <w:bottom w:val="dashed" w:sz="6" w:space="30" w:color="CCCCCC"/>
            <w:right w:val="none" w:sz="0" w:space="0" w:color="auto"/>
          </w:divBdr>
          <w:divsChild>
            <w:div w:id="6158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4</cp:revision>
  <dcterms:created xsi:type="dcterms:W3CDTF">2023-12-13T09:20:00Z</dcterms:created>
  <dcterms:modified xsi:type="dcterms:W3CDTF">2023-12-13T09:23:00Z</dcterms:modified>
</cp:coreProperties>
</file>